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24E74" w14:textId="77777777" w:rsidR="0097600A" w:rsidRPr="0097600A" w:rsidRDefault="0097600A" w:rsidP="0097600A">
      <w:pPr>
        <w:spacing w:after="0" w:line="240" w:lineRule="auto"/>
        <w:jc w:val="both"/>
      </w:pPr>
      <w:proofErr w:type="spellStart"/>
      <w:r w:rsidRPr="0097600A">
        <w:t>Memperkenalkan</w:t>
      </w:r>
      <w:proofErr w:type="spellEnd"/>
      <w:r w:rsidRPr="0097600A">
        <w:t xml:space="preserve"> </w:t>
      </w:r>
      <w:proofErr w:type="spellStart"/>
      <w:r w:rsidRPr="0097600A">
        <w:t>sebuah</w:t>
      </w:r>
      <w:proofErr w:type="spellEnd"/>
      <w:r w:rsidRPr="0097600A">
        <w:t xml:space="preserve"> </w:t>
      </w:r>
      <w:proofErr w:type="spellStart"/>
      <w:r w:rsidRPr="0097600A">
        <w:t>sistem</w:t>
      </w:r>
      <w:proofErr w:type="spellEnd"/>
      <w:r w:rsidRPr="0097600A">
        <w:t xml:space="preserve"> </w:t>
      </w:r>
      <w:proofErr w:type="spellStart"/>
      <w:r w:rsidRPr="0097600A">
        <w:t>laboratorium</w:t>
      </w:r>
      <w:proofErr w:type="spellEnd"/>
      <w:r w:rsidRPr="0097600A">
        <w:t xml:space="preserve"> yang </w:t>
      </w:r>
      <w:proofErr w:type="spellStart"/>
      <w:r w:rsidRPr="0097600A">
        <w:t>lengkap</w:t>
      </w:r>
      <w:proofErr w:type="spellEnd"/>
      <w:r w:rsidRPr="0097600A">
        <w:t xml:space="preserve"> dan </w:t>
      </w:r>
      <w:proofErr w:type="spellStart"/>
      <w:r w:rsidRPr="0097600A">
        <w:t>andal</w:t>
      </w:r>
      <w:proofErr w:type="spellEnd"/>
      <w:r w:rsidRPr="0097600A">
        <w:t xml:space="preserve"> </w:t>
      </w:r>
      <w:proofErr w:type="spellStart"/>
      <w:r w:rsidRPr="0097600A">
        <w:t>dirancang</w:t>
      </w:r>
      <w:proofErr w:type="spellEnd"/>
      <w:r w:rsidRPr="0097600A">
        <w:t xml:space="preserve"> </w:t>
      </w:r>
      <w:proofErr w:type="spellStart"/>
      <w:r w:rsidRPr="0097600A">
        <w:t>untuk</w:t>
      </w:r>
      <w:proofErr w:type="spellEnd"/>
      <w:r w:rsidRPr="0097600A">
        <w:t xml:space="preserve"> </w:t>
      </w:r>
      <w:proofErr w:type="spellStart"/>
      <w:r w:rsidRPr="0097600A">
        <w:t>membawa</w:t>
      </w:r>
      <w:proofErr w:type="spellEnd"/>
      <w:r w:rsidRPr="0097600A">
        <w:t xml:space="preserve"> </w:t>
      </w:r>
      <w:proofErr w:type="spellStart"/>
      <w:r w:rsidRPr="0097600A">
        <w:t>mahasiswa</w:t>
      </w:r>
      <w:proofErr w:type="spellEnd"/>
      <w:r w:rsidRPr="0097600A">
        <w:t xml:space="preserve"> </w:t>
      </w:r>
      <w:proofErr w:type="spellStart"/>
      <w:r w:rsidRPr="0097600A">
        <w:t>ke</w:t>
      </w:r>
      <w:proofErr w:type="spellEnd"/>
      <w:r w:rsidRPr="0097600A">
        <w:t xml:space="preserve"> </w:t>
      </w:r>
      <w:proofErr w:type="spellStart"/>
      <w:r w:rsidRPr="0097600A">
        <w:t>dalam</w:t>
      </w:r>
      <w:proofErr w:type="spellEnd"/>
      <w:r w:rsidRPr="0097600A">
        <w:t xml:space="preserve"> dunia </w:t>
      </w:r>
      <w:proofErr w:type="spellStart"/>
      <w:r w:rsidRPr="0097600A">
        <w:t>holografi</w:t>
      </w:r>
      <w:proofErr w:type="spellEnd"/>
      <w:r w:rsidRPr="0097600A">
        <w:t xml:space="preserve"> yang </w:t>
      </w:r>
      <w:proofErr w:type="spellStart"/>
      <w:r w:rsidRPr="0097600A">
        <w:t>menakjubkan</w:t>
      </w:r>
      <w:proofErr w:type="spellEnd"/>
      <w:r w:rsidRPr="0097600A">
        <w:t xml:space="preserve"> </w:t>
      </w:r>
      <w:proofErr w:type="spellStart"/>
      <w:r w:rsidRPr="0097600A">
        <w:t>Peralatan</w:t>
      </w:r>
      <w:proofErr w:type="spellEnd"/>
      <w:r w:rsidRPr="0097600A">
        <w:t xml:space="preserve"> </w:t>
      </w:r>
      <w:proofErr w:type="spellStart"/>
      <w:r w:rsidRPr="0097600A">
        <w:t>ini</w:t>
      </w:r>
      <w:proofErr w:type="spellEnd"/>
      <w:r w:rsidRPr="0097600A">
        <w:t xml:space="preserve"> </w:t>
      </w:r>
      <w:proofErr w:type="spellStart"/>
      <w:r w:rsidRPr="0097600A">
        <w:t>menyediakan</w:t>
      </w:r>
      <w:proofErr w:type="spellEnd"/>
      <w:r w:rsidRPr="0097600A">
        <w:t xml:space="preserve"> platform yang </w:t>
      </w:r>
      <w:proofErr w:type="spellStart"/>
      <w:r w:rsidRPr="0097600A">
        <w:t>stabil</w:t>
      </w:r>
      <w:proofErr w:type="spellEnd"/>
      <w:r w:rsidRPr="0097600A">
        <w:t xml:space="preserve"> dan </w:t>
      </w:r>
      <w:proofErr w:type="spellStart"/>
      <w:r w:rsidRPr="0097600A">
        <w:t>komprehensif</w:t>
      </w:r>
      <w:proofErr w:type="spellEnd"/>
      <w:r w:rsidRPr="0097600A">
        <w:t xml:space="preserve"> </w:t>
      </w:r>
      <w:proofErr w:type="spellStart"/>
      <w:r w:rsidRPr="0097600A">
        <w:t>untuk</w:t>
      </w:r>
      <w:proofErr w:type="spellEnd"/>
      <w:r w:rsidRPr="0097600A">
        <w:t xml:space="preserve"> </w:t>
      </w:r>
      <w:proofErr w:type="spellStart"/>
      <w:r w:rsidRPr="0097600A">
        <w:t>mempelajari</w:t>
      </w:r>
      <w:proofErr w:type="spellEnd"/>
      <w:r w:rsidRPr="0097600A">
        <w:t xml:space="preserve"> </w:t>
      </w:r>
      <w:proofErr w:type="spellStart"/>
      <w:r w:rsidRPr="0097600A">
        <w:t>prinsip-prinsip</w:t>
      </w:r>
      <w:proofErr w:type="spellEnd"/>
      <w:r w:rsidRPr="0097600A">
        <w:t xml:space="preserve"> </w:t>
      </w:r>
      <w:proofErr w:type="spellStart"/>
      <w:r w:rsidRPr="0097600A">
        <w:t>dasar</w:t>
      </w:r>
      <w:proofErr w:type="spellEnd"/>
      <w:r w:rsidRPr="0097600A">
        <w:t xml:space="preserve"> dan </w:t>
      </w:r>
      <w:proofErr w:type="spellStart"/>
      <w:r w:rsidRPr="0097600A">
        <w:t>menguasai</w:t>
      </w:r>
      <w:proofErr w:type="spellEnd"/>
      <w:r w:rsidRPr="0097600A">
        <w:t xml:space="preserve"> </w:t>
      </w:r>
      <w:proofErr w:type="spellStart"/>
      <w:r w:rsidRPr="0097600A">
        <w:t>teknik</w:t>
      </w:r>
      <w:proofErr w:type="spellEnd"/>
      <w:r w:rsidRPr="0097600A">
        <w:t xml:space="preserve"> </w:t>
      </w:r>
      <w:proofErr w:type="spellStart"/>
      <w:r w:rsidRPr="0097600A">
        <w:t>eksperimental</w:t>
      </w:r>
      <w:proofErr w:type="spellEnd"/>
      <w:r w:rsidRPr="0097600A">
        <w:t xml:space="preserve"> di </w:t>
      </w:r>
      <w:proofErr w:type="spellStart"/>
      <w:r w:rsidRPr="0097600A">
        <w:t>balik</w:t>
      </w:r>
      <w:proofErr w:type="spellEnd"/>
      <w:r w:rsidRPr="0097600A">
        <w:t xml:space="preserve"> </w:t>
      </w:r>
      <w:proofErr w:type="spellStart"/>
      <w:r w:rsidRPr="0097600A">
        <w:t>pencitraan</w:t>
      </w:r>
      <w:proofErr w:type="spellEnd"/>
      <w:r w:rsidRPr="0097600A">
        <w:t xml:space="preserve"> </w:t>
      </w:r>
      <w:proofErr w:type="spellStart"/>
      <w:r w:rsidRPr="0097600A">
        <w:t>tiga</w:t>
      </w:r>
      <w:proofErr w:type="spellEnd"/>
      <w:r w:rsidRPr="0097600A">
        <w:t xml:space="preserve"> </w:t>
      </w:r>
      <w:proofErr w:type="spellStart"/>
      <w:r w:rsidRPr="0097600A">
        <w:t>dimensi</w:t>
      </w:r>
      <w:proofErr w:type="spellEnd"/>
      <w:r w:rsidRPr="0097600A">
        <w:t xml:space="preserve"> </w:t>
      </w:r>
      <w:proofErr w:type="spellStart"/>
      <w:r w:rsidRPr="0097600A">
        <w:t>sejati</w:t>
      </w:r>
      <w:proofErr w:type="spellEnd"/>
      <w:r w:rsidRPr="0097600A">
        <w:t xml:space="preserve"> </w:t>
      </w:r>
      <w:proofErr w:type="spellStart"/>
      <w:r w:rsidRPr="0097600A">
        <w:t>sebuah</w:t>
      </w:r>
      <w:proofErr w:type="spellEnd"/>
      <w:r w:rsidRPr="0097600A">
        <w:t xml:space="preserve"> </w:t>
      </w:r>
      <w:proofErr w:type="spellStart"/>
      <w:r w:rsidRPr="0097600A">
        <w:t>teknologi</w:t>
      </w:r>
      <w:proofErr w:type="spellEnd"/>
      <w:r w:rsidRPr="0097600A">
        <w:t xml:space="preserve"> yang </w:t>
      </w:r>
      <w:proofErr w:type="spellStart"/>
      <w:r w:rsidRPr="0097600A">
        <w:t>berakar</w:t>
      </w:r>
      <w:proofErr w:type="spellEnd"/>
      <w:r w:rsidRPr="0097600A">
        <w:t xml:space="preserve"> pada </w:t>
      </w:r>
      <w:proofErr w:type="spellStart"/>
      <w:r w:rsidRPr="0097600A">
        <w:t>interferensi</w:t>
      </w:r>
      <w:proofErr w:type="spellEnd"/>
      <w:r w:rsidRPr="0097600A">
        <w:t xml:space="preserve"> dan </w:t>
      </w:r>
      <w:proofErr w:type="spellStart"/>
      <w:r w:rsidRPr="0097600A">
        <w:t>difraksi</w:t>
      </w:r>
      <w:proofErr w:type="spellEnd"/>
      <w:r w:rsidRPr="0097600A">
        <w:t xml:space="preserve"> </w:t>
      </w:r>
      <w:proofErr w:type="spellStart"/>
      <w:r w:rsidRPr="0097600A">
        <w:t>gelombang</w:t>
      </w:r>
      <w:proofErr w:type="spellEnd"/>
      <w:r w:rsidRPr="0097600A">
        <w:t xml:space="preserve"> </w:t>
      </w:r>
      <w:proofErr w:type="spellStart"/>
      <w:r w:rsidRPr="0097600A">
        <w:t>cahaya</w:t>
      </w:r>
      <w:proofErr w:type="spellEnd"/>
      <w:r w:rsidRPr="0097600A">
        <w:t xml:space="preserve"> dan </w:t>
      </w:r>
      <w:proofErr w:type="spellStart"/>
      <w:r w:rsidRPr="0097600A">
        <w:t>memiliki</w:t>
      </w:r>
      <w:proofErr w:type="spellEnd"/>
      <w:r w:rsidRPr="0097600A">
        <w:t xml:space="preserve"> </w:t>
      </w:r>
      <w:proofErr w:type="spellStart"/>
      <w:r w:rsidRPr="0097600A">
        <w:t>pengaruh</w:t>
      </w:r>
      <w:proofErr w:type="spellEnd"/>
      <w:r w:rsidRPr="0097600A">
        <w:t xml:space="preserve"> </w:t>
      </w:r>
      <w:proofErr w:type="spellStart"/>
      <w:r w:rsidRPr="0097600A">
        <w:t>luas</w:t>
      </w:r>
      <w:proofErr w:type="spellEnd"/>
      <w:r w:rsidRPr="0097600A">
        <w:t xml:space="preserve"> </w:t>
      </w:r>
      <w:proofErr w:type="spellStart"/>
      <w:r w:rsidRPr="0097600A">
        <w:t>dalam</w:t>
      </w:r>
      <w:proofErr w:type="spellEnd"/>
      <w:r w:rsidRPr="0097600A">
        <w:t xml:space="preserve"> </w:t>
      </w:r>
      <w:proofErr w:type="spellStart"/>
      <w:r w:rsidRPr="0097600A">
        <w:t>berbagai</w:t>
      </w:r>
      <w:proofErr w:type="spellEnd"/>
      <w:r w:rsidRPr="0097600A">
        <w:t xml:space="preserve"> </w:t>
      </w:r>
      <w:proofErr w:type="spellStart"/>
      <w:r w:rsidRPr="0097600A">
        <w:t>bidang</w:t>
      </w:r>
      <w:proofErr w:type="spellEnd"/>
      <w:r w:rsidRPr="0097600A">
        <w:t xml:space="preserve"> </w:t>
      </w:r>
      <w:proofErr w:type="spellStart"/>
      <w:r w:rsidRPr="0097600A">
        <w:t>mulai</w:t>
      </w:r>
      <w:proofErr w:type="spellEnd"/>
      <w:r w:rsidRPr="0097600A">
        <w:t xml:space="preserve"> </w:t>
      </w:r>
      <w:proofErr w:type="spellStart"/>
      <w:r w:rsidRPr="0097600A">
        <w:t>dari</w:t>
      </w:r>
      <w:proofErr w:type="spellEnd"/>
      <w:r w:rsidRPr="0097600A">
        <w:t xml:space="preserve"> </w:t>
      </w:r>
      <w:proofErr w:type="spellStart"/>
      <w:r w:rsidRPr="0097600A">
        <w:t>seni</w:t>
      </w:r>
      <w:proofErr w:type="spellEnd"/>
      <w:r w:rsidRPr="0097600A">
        <w:t xml:space="preserve"> dan </w:t>
      </w:r>
      <w:proofErr w:type="spellStart"/>
      <w:r w:rsidRPr="0097600A">
        <w:t>industri</w:t>
      </w:r>
      <w:proofErr w:type="spellEnd"/>
      <w:r w:rsidRPr="0097600A">
        <w:t xml:space="preserve"> </w:t>
      </w:r>
      <w:proofErr w:type="spellStart"/>
      <w:r w:rsidRPr="0097600A">
        <w:t>percetakan</w:t>
      </w:r>
      <w:proofErr w:type="spellEnd"/>
      <w:r w:rsidRPr="0097600A">
        <w:t xml:space="preserve"> </w:t>
      </w:r>
      <w:proofErr w:type="spellStart"/>
      <w:r w:rsidRPr="0097600A">
        <w:t>hingga</w:t>
      </w:r>
      <w:proofErr w:type="spellEnd"/>
      <w:r w:rsidRPr="0097600A">
        <w:t xml:space="preserve"> </w:t>
      </w:r>
      <w:proofErr w:type="spellStart"/>
      <w:r w:rsidRPr="0097600A">
        <w:t>pemrosesan</w:t>
      </w:r>
      <w:proofErr w:type="spellEnd"/>
      <w:r w:rsidRPr="0097600A">
        <w:t xml:space="preserve"> </w:t>
      </w:r>
      <w:proofErr w:type="spellStart"/>
      <w:r w:rsidRPr="0097600A">
        <w:t>gambar</w:t>
      </w:r>
      <w:proofErr w:type="spellEnd"/>
      <w:r w:rsidRPr="0097600A">
        <w:t xml:space="preserve"> </w:t>
      </w:r>
      <w:proofErr w:type="spellStart"/>
      <w:r w:rsidRPr="0097600A">
        <w:t>optik</w:t>
      </w:r>
      <w:proofErr w:type="spellEnd"/>
    </w:p>
    <w:p w14:paraId="0188A76A" w14:textId="77777777" w:rsidR="0097600A" w:rsidRPr="0097600A" w:rsidRDefault="0097600A" w:rsidP="0097600A">
      <w:pPr>
        <w:spacing w:after="0" w:line="240" w:lineRule="auto"/>
        <w:jc w:val="both"/>
        <w:rPr>
          <w:lang w:val="sv-SE"/>
        </w:rPr>
      </w:pPr>
      <w:r w:rsidRPr="0097600A">
        <w:rPr>
          <w:lang w:val="sv-SE"/>
        </w:rPr>
        <w:t>Perjalanan belajar dimulai dengan pemahaman konsep fundamental mahasiswa akan dipandu untuk mengenal prinsip-prinsip dasar holografi bagaimana informasi tentang seluruh muka gelombang dari sebuah objek dapat direkam pada medium perekaman Dengan menggunakan sumber cahaya koheren dari laser Helium-Neon mereka akan mempelajari bagaimana interferensi antara berkas objek dan berkas referensi menjadi kunci untuk menyimpan informasi tiga dimensi</w:t>
      </w:r>
    </w:p>
    <w:p w14:paraId="728B36DE" w14:textId="77777777" w:rsidR="0097600A" w:rsidRPr="0097600A" w:rsidRDefault="0097600A" w:rsidP="0097600A">
      <w:pPr>
        <w:spacing w:after="0" w:line="240" w:lineRule="auto"/>
        <w:jc w:val="both"/>
        <w:rPr>
          <w:lang w:val="sv-SE"/>
        </w:rPr>
      </w:pPr>
      <w:r w:rsidRPr="0097600A">
        <w:rPr>
          <w:lang w:val="sv-SE"/>
        </w:rPr>
        <w:t>Selanjutnya fokus beralih ke keterampilan eksperimental praktis Mahasiswa akan belajar secara langsung bagaimana menyusun dan menyetel jalur optik yang rumit yang diperlukan untuk holografi Mereka akan menjadi terbiasa dengan peralatan uji seperti pembagi berkas cermin dan dudukan pelat holografik memastikan semua komponen terpasang dengan presisi untuk menghasilkan hasil yang berkualitas tinggi sebuah keterampilan penting dalam optik eksperimental</w:t>
      </w:r>
    </w:p>
    <w:p w14:paraId="61C4C6AD" w14:textId="77777777" w:rsidR="0097600A" w:rsidRPr="0097600A" w:rsidRDefault="0097600A" w:rsidP="0097600A">
      <w:pPr>
        <w:spacing w:after="0" w:line="240" w:lineRule="auto"/>
        <w:jc w:val="both"/>
        <w:rPr>
          <w:lang w:val="sv-SE"/>
        </w:rPr>
      </w:pPr>
      <w:r w:rsidRPr="0097600A">
        <w:rPr>
          <w:lang w:val="sv-SE"/>
        </w:rPr>
        <w:t>Puncak dari pengalaman ini adalah kesempatan bagi mahasiswa untuk merekam hologram mereka sendiri yang berkualitas Dengan menggunakan pengatur waktu paparan (exposure timer) dan pengukur daya laser yang terintegrasi mereka dapat secara akurat mengontrol proses perekaman untuk menangkap pola interferensi yang rumit pada pelat holografik Kemampuan untuk secara fisik menciptakan sebuah hologram memberikan rasa pencapaian dan pemahaman yang mendalam yang tidak dapat ditandingi oleh simulasi teoretis</w:t>
      </w:r>
    </w:p>
    <w:p w14:paraId="5506D31B" w14:textId="77777777" w:rsidR="0097600A" w:rsidRPr="0097600A" w:rsidRDefault="0097600A" w:rsidP="0097600A">
      <w:pPr>
        <w:spacing w:after="0" w:line="240" w:lineRule="auto"/>
        <w:jc w:val="both"/>
        <w:rPr>
          <w:lang w:val="sv-SE"/>
        </w:rPr>
      </w:pPr>
      <w:r w:rsidRPr="0097600A">
        <w:rPr>
          <w:lang w:val="sv-SE"/>
        </w:rPr>
        <w:t>Setelah hologram berhasil direkam mahasiswa akan mempelajari teknik kemunculan kembali (reappearance) Mereka akan belajar bagaimana cara menyinari hologram yang telah jadi dengan benar untuk merekonstruksi gambar tiga dimensi virtual dari objek asli Menyaksikan gambar 3D melayang di angkasa adalah momen akhir yang memvalidasi seluruh proses eksperimental mereka</w:t>
      </w:r>
    </w:p>
    <w:p w14:paraId="01DDA11B" w14:textId="77777777" w:rsidR="0097600A" w:rsidRPr="0097600A" w:rsidRDefault="0097600A" w:rsidP="0097600A">
      <w:pPr>
        <w:pBdr>
          <w:bottom w:val="double" w:sz="6" w:space="1" w:color="auto"/>
        </w:pBdr>
        <w:spacing w:after="0" w:line="240" w:lineRule="auto"/>
        <w:jc w:val="both"/>
        <w:rPr>
          <w:lang w:val="sv-SE"/>
        </w:rPr>
      </w:pPr>
      <w:r w:rsidRPr="0097600A">
        <w:rPr>
          <w:lang w:val="sv-SE"/>
        </w:rPr>
        <w:t>Dengan struktur yang aman dan performa yang stabil dan andal peralatan ini sangat cocok untuk eksperimen fisika kontemporer di universitas dan perguruan tinggi serta untuk eksperimen penelitian dan desain Ini adalah alat yang sangat diperlukan untuk setiap institusi yang ingin memberikan pengalaman langsung dalam salah satu bidang optik yang paling inovatif dan menarik secara visual</w:t>
      </w:r>
    </w:p>
    <w:p w14:paraId="776C614D" w14:textId="77777777" w:rsidR="0097600A" w:rsidRPr="0097600A" w:rsidRDefault="0097600A" w:rsidP="0097600A">
      <w:pPr>
        <w:spacing w:after="0" w:line="240" w:lineRule="auto"/>
        <w:jc w:val="both"/>
      </w:pPr>
      <w:r w:rsidRPr="0097600A">
        <w:t>Introducing a complete and reliable laboratory system designed to bring students into the fascinating world of holography This apparatus provides a stable and comprehensive platform for learning the basic principles and mastering the experimental techniques behind true three-dimensional imaging a technology rooted in the interference and diffraction of light waves and having far-reaching influence in fields from art and the printing industry to optical image processing</w:t>
      </w:r>
    </w:p>
    <w:p w14:paraId="13DDCC6C" w14:textId="77777777" w:rsidR="0097600A" w:rsidRPr="0097600A" w:rsidRDefault="0097600A" w:rsidP="0097600A">
      <w:pPr>
        <w:spacing w:after="0" w:line="240" w:lineRule="auto"/>
        <w:jc w:val="both"/>
      </w:pPr>
      <w:r w:rsidRPr="0097600A">
        <w:t>The learning journey begins with understanding the fundamental concepts students will be guided to get to know the basic principles of holography how information about an object's entire wavefront can be recorded on a recording medium Using a coherent light source from a Helium-Neon laser they will learn how the interference between an object beam and a reference beam is the key to storing three-dimensional information</w:t>
      </w:r>
    </w:p>
    <w:p w14:paraId="3EF8120B" w14:textId="77777777" w:rsidR="0097600A" w:rsidRPr="0097600A" w:rsidRDefault="0097600A" w:rsidP="0097600A">
      <w:pPr>
        <w:spacing w:after="0" w:line="240" w:lineRule="auto"/>
        <w:jc w:val="both"/>
      </w:pPr>
      <w:r w:rsidRPr="0097600A">
        <w:t>Next the focus shifts to practical experimental skills Students will learn firsthand how to assemble and adjust the intricate optical path required for holography They will become familiar with the test equipment such as beam splitters mirrors and the holographic plate holder ensuring all components are aligned with precision to produce a high-quality result an essential skill in experimental optics</w:t>
      </w:r>
    </w:p>
    <w:p w14:paraId="4DD8FC6C" w14:textId="77777777" w:rsidR="0097600A" w:rsidRPr="0097600A" w:rsidRDefault="0097600A" w:rsidP="0097600A">
      <w:pPr>
        <w:spacing w:after="0" w:line="240" w:lineRule="auto"/>
        <w:jc w:val="both"/>
      </w:pPr>
      <w:r w:rsidRPr="0097600A">
        <w:t>The culmination of this experience is the opportunity for students to shoot their own qualified hologram Using the integrated exposure timer and laser power meter they can accurately control the recording process to capture the complex interference pattern on the holographic plate The ability to physically create a hologram provides a sense of accomplishment and a deep understanding that theoretical simulations cannot match</w:t>
      </w:r>
    </w:p>
    <w:p w14:paraId="18589F91" w14:textId="77777777" w:rsidR="0097600A" w:rsidRPr="0097600A" w:rsidRDefault="0097600A" w:rsidP="0097600A">
      <w:pPr>
        <w:spacing w:after="0" w:line="240" w:lineRule="auto"/>
        <w:jc w:val="both"/>
      </w:pPr>
      <w:r w:rsidRPr="0097600A">
        <w:t xml:space="preserve">Once the hologram is successfully recorded students will then learn the reappearance </w:t>
      </w:r>
      <w:proofErr w:type="gramStart"/>
      <w:r w:rsidRPr="0097600A">
        <w:t>techniques</w:t>
      </w:r>
      <w:proofErr w:type="gramEnd"/>
      <w:r w:rsidRPr="0097600A">
        <w:t xml:space="preserve"> They will learn how to properly illuminate their finished hologram to reconstruct the original virtual three-</w:t>
      </w:r>
      <w:r w:rsidRPr="0097600A">
        <w:lastRenderedPageBreak/>
        <w:t>dimensional image of the object Witnessing the 3D image float in space is the final validating moment of their entire experimental process</w:t>
      </w:r>
    </w:p>
    <w:p w14:paraId="1AEE3979" w14:textId="77777777" w:rsidR="0097600A" w:rsidRPr="0097600A" w:rsidRDefault="0097600A" w:rsidP="0097600A">
      <w:pPr>
        <w:spacing w:after="0" w:line="240" w:lineRule="auto"/>
        <w:jc w:val="both"/>
      </w:pPr>
      <w:r w:rsidRPr="0097600A">
        <w:t>With its secure structure and stable reliable performance this apparatus is perfectly suitable for contemporary physics experiments in universities and colleges as well as for research and design experiments It is an indispensable tool for any institution wanting to provide hands-on experience in one of the most innovative and visually exciting fields of optics</w:t>
      </w:r>
    </w:p>
    <w:p w14:paraId="2206C400" w14:textId="77777777" w:rsidR="0097600A" w:rsidRPr="0097600A" w:rsidRDefault="0097600A" w:rsidP="0097600A">
      <w:pPr>
        <w:spacing w:after="0" w:line="240" w:lineRule="auto"/>
        <w:jc w:val="both"/>
      </w:pPr>
    </w:p>
    <w:sectPr w:rsidR="0097600A" w:rsidRPr="009760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00A"/>
    <w:rsid w:val="000D6E49"/>
    <w:rsid w:val="001338A9"/>
    <w:rsid w:val="002E2B5A"/>
    <w:rsid w:val="002F7BBA"/>
    <w:rsid w:val="00307549"/>
    <w:rsid w:val="003B5ABF"/>
    <w:rsid w:val="009034B1"/>
    <w:rsid w:val="0097600A"/>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8D72A"/>
  <w15:chartTrackingRefBased/>
  <w15:docId w15:val="{0644DB8C-E286-42A6-AD53-A21E2A92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0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60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60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60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60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6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760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60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60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60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60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6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00A"/>
    <w:rPr>
      <w:rFonts w:eastAsiaTheme="majorEastAsia" w:cstheme="majorBidi"/>
      <w:color w:val="272727" w:themeColor="text1" w:themeTint="D8"/>
    </w:rPr>
  </w:style>
  <w:style w:type="paragraph" w:styleId="Title">
    <w:name w:val="Title"/>
    <w:basedOn w:val="Normal"/>
    <w:next w:val="Normal"/>
    <w:link w:val="TitleChar"/>
    <w:uiPriority w:val="10"/>
    <w:qFormat/>
    <w:rsid w:val="00976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00A"/>
    <w:pPr>
      <w:spacing w:before="160"/>
      <w:jc w:val="center"/>
    </w:pPr>
    <w:rPr>
      <w:i/>
      <w:iCs/>
      <w:color w:val="404040" w:themeColor="text1" w:themeTint="BF"/>
    </w:rPr>
  </w:style>
  <w:style w:type="character" w:customStyle="1" w:styleId="QuoteChar">
    <w:name w:val="Quote Char"/>
    <w:basedOn w:val="DefaultParagraphFont"/>
    <w:link w:val="Quote"/>
    <w:uiPriority w:val="29"/>
    <w:rsid w:val="0097600A"/>
    <w:rPr>
      <w:i/>
      <w:iCs/>
      <w:color w:val="404040" w:themeColor="text1" w:themeTint="BF"/>
    </w:rPr>
  </w:style>
  <w:style w:type="paragraph" w:styleId="ListParagraph">
    <w:name w:val="List Paragraph"/>
    <w:basedOn w:val="Normal"/>
    <w:uiPriority w:val="34"/>
    <w:qFormat/>
    <w:rsid w:val="0097600A"/>
    <w:pPr>
      <w:ind w:left="720"/>
      <w:contextualSpacing/>
    </w:pPr>
  </w:style>
  <w:style w:type="character" w:styleId="IntenseEmphasis">
    <w:name w:val="Intense Emphasis"/>
    <w:basedOn w:val="DefaultParagraphFont"/>
    <w:uiPriority w:val="21"/>
    <w:qFormat/>
    <w:rsid w:val="0097600A"/>
    <w:rPr>
      <w:i/>
      <w:iCs/>
      <w:color w:val="2F5496" w:themeColor="accent1" w:themeShade="BF"/>
    </w:rPr>
  </w:style>
  <w:style w:type="paragraph" w:styleId="IntenseQuote">
    <w:name w:val="Intense Quote"/>
    <w:basedOn w:val="Normal"/>
    <w:next w:val="Normal"/>
    <w:link w:val="IntenseQuoteChar"/>
    <w:uiPriority w:val="30"/>
    <w:qFormat/>
    <w:rsid w:val="009760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600A"/>
    <w:rPr>
      <w:i/>
      <w:iCs/>
      <w:color w:val="2F5496" w:themeColor="accent1" w:themeShade="BF"/>
    </w:rPr>
  </w:style>
  <w:style w:type="character" w:styleId="IntenseReference">
    <w:name w:val="Intense Reference"/>
    <w:basedOn w:val="DefaultParagraphFont"/>
    <w:uiPriority w:val="32"/>
    <w:qFormat/>
    <w:rsid w:val="0097600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2025-10-01T03:32:00Z</dcterms:created>
  <dcterms:modified xsi:type="dcterms:W3CDTF">2025-10-01T03:35:00Z</dcterms:modified>
</cp:coreProperties>
</file>